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7"/>
        <w:ind w:right="119"/>
        <w:jc w:val="right"/>
      </w:pPr>
      <w:r>
        <w:rPr/>
        <w:t>Rome, 20 November 2016</w:t>
      </w:r>
    </w:p>
    <w:p>
      <w:pPr>
        <w:pStyle w:val="BodyText"/>
        <w:spacing w:before="122"/>
        <w:ind w:left="100"/>
      </w:pPr>
      <w:r>
        <w:rPr/>
        <w:t>Prot. No. 263/16</w:t>
      </w:r>
    </w:p>
    <w:p>
      <w:pPr>
        <w:pStyle w:val="BodyText"/>
        <w:spacing w:before="117"/>
        <w:ind w:left="100"/>
        <w:jc w:val="both"/>
      </w:pPr>
      <w:r>
        <w:rPr/>
        <w:t>Subj: Promulgation of the Chapter Document of the XII General Chapter of the Congregation</w:t>
      </w:r>
    </w:p>
    <w:p>
      <w:pPr>
        <w:pStyle w:val="BodyText"/>
      </w:pPr>
    </w:p>
    <w:p>
      <w:pPr>
        <w:pStyle w:val="BodyText"/>
        <w:spacing w:before="4"/>
        <w:rPr>
          <w:sz w:val="20"/>
        </w:rPr>
      </w:pPr>
    </w:p>
    <w:p>
      <w:pPr>
        <w:pStyle w:val="BodyText"/>
        <w:spacing w:line="343" w:lineRule="auto"/>
        <w:ind w:left="7447" w:right="117" w:hanging="741"/>
        <w:jc w:val="right"/>
      </w:pPr>
      <w:r>
        <w:rPr/>
        <w:t>To the Most Rev. Superiors of Circumscriptions</w:t>
      </w:r>
    </w:p>
    <w:p>
      <w:pPr>
        <w:pStyle w:val="BodyText"/>
        <w:spacing w:before="1"/>
        <w:ind w:left="5789"/>
      </w:pPr>
      <w:r>
        <w:rPr/>
        <w:t>and to the Rogationist Communities</w:t>
      </w:r>
    </w:p>
    <w:p>
      <w:pPr>
        <w:pStyle w:val="BodyText"/>
      </w:pPr>
    </w:p>
    <w:p>
      <w:pPr>
        <w:pStyle w:val="BodyText"/>
        <w:spacing w:before="4"/>
        <w:rPr>
          <w:sz w:val="20"/>
        </w:rPr>
      </w:pPr>
    </w:p>
    <w:p>
      <w:pPr>
        <w:pStyle w:val="BodyText"/>
        <w:ind w:left="210" w:right="235" w:firstLine="610"/>
      </w:pPr>
      <w:r>
        <w:rPr/>
        <w:t>Having seen what the Constitutions prescribes, “</w:t>
      </w:r>
      <w:r>
        <w:rPr>
          <w:color w:val="363435"/>
        </w:rPr>
        <w:t>The General Chapter determines which of the Capitular Acts is to be brought to the knowledge of the whole Institute. It also points out which rules shall immediately come into force with the promulgation made by the Superior General” (Art. 147);</w:t>
      </w:r>
    </w:p>
    <w:p>
      <w:pPr>
        <w:pStyle w:val="BodyText"/>
        <w:spacing w:before="117"/>
        <w:ind w:left="210" w:right="211" w:firstLine="610"/>
      </w:pPr>
      <w:r>
        <w:rPr>
          <w:color w:val="363435"/>
        </w:rPr>
        <w:t>Having</w:t>
      </w:r>
      <w:r>
        <w:rPr>
          <w:color w:val="363435"/>
          <w:spacing w:val="-13"/>
        </w:rPr>
        <w:t> </w:t>
      </w:r>
      <w:r>
        <w:rPr>
          <w:color w:val="363435"/>
        </w:rPr>
        <w:t>seen</w:t>
      </w:r>
      <w:r>
        <w:rPr>
          <w:color w:val="363435"/>
          <w:spacing w:val="-13"/>
        </w:rPr>
        <w:t> </w:t>
      </w:r>
      <w:r>
        <w:rPr>
          <w:color w:val="363435"/>
        </w:rPr>
        <w:t>what</w:t>
      </w:r>
      <w:r>
        <w:rPr>
          <w:color w:val="363435"/>
          <w:spacing w:val="-13"/>
        </w:rPr>
        <w:t> </w:t>
      </w:r>
      <w:r>
        <w:rPr>
          <w:color w:val="363435"/>
        </w:rPr>
        <w:t>the</w:t>
      </w:r>
      <w:r>
        <w:rPr>
          <w:color w:val="363435"/>
          <w:spacing w:val="-13"/>
        </w:rPr>
        <w:t> </w:t>
      </w:r>
      <w:r>
        <w:rPr>
          <w:color w:val="363435"/>
        </w:rPr>
        <w:t>Norms</w:t>
      </w:r>
      <w:r>
        <w:rPr>
          <w:color w:val="363435"/>
          <w:spacing w:val="-14"/>
        </w:rPr>
        <w:t> </w:t>
      </w:r>
      <w:r>
        <w:rPr>
          <w:color w:val="363435"/>
        </w:rPr>
        <w:t>requires,</w:t>
      </w:r>
      <w:r>
        <w:rPr>
          <w:color w:val="363435"/>
          <w:spacing w:val="-13"/>
        </w:rPr>
        <w:t> </w:t>
      </w:r>
      <w:r>
        <w:rPr>
          <w:color w:val="363435"/>
        </w:rPr>
        <w:t>“The</w:t>
      </w:r>
      <w:r>
        <w:rPr>
          <w:color w:val="363435"/>
          <w:spacing w:val="-20"/>
        </w:rPr>
        <w:t> </w:t>
      </w:r>
      <w:r>
        <w:rPr>
          <w:color w:val="363435"/>
        </w:rPr>
        <w:t>binding</w:t>
      </w:r>
      <w:r>
        <w:rPr>
          <w:color w:val="363435"/>
          <w:spacing w:val="-17"/>
        </w:rPr>
        <w:t> </w:t>
      </w:r>
      <w:r>
        <w:rPr>
          <w:color w:val="363435"/>
        </w:rPr>
        <w:t>and</w:t>
      </w:r>
      <w:r>
        <w:rPr>
          <w:color w:val="363435"/>
          <w:spacing w:val="-20"/>
        </w:rPr>
        <w:t> </w:t>
      </w:r>
      <w:r>
        <w:rPr>
          <w:color w:val="363435"/>
        </w:rPr>
        <w:t>operative</w:t>
      </w:r>
      <w:r>
        <w:rPr>
          <w:color w:val="363435"/>
          <w:spacing w:val="-17"/>
        </w:rPr>
        <w:t> </w:t>
      </w:r>
      <w:r>
        <w:rPr>
          <w:color w:val="363435"/>
        </w:rPr>
        <w:t>norms,</w:t>
      </w:r>
      <w:r>
        <w:rPr>
          <w:color w:val="363435"/>
          <w:spacing w:val="-18"/>
        </w:rPr>
        <w:t> </w:t>
      </w:r>
      <w:r>
        <w:rPr>
          <w:color w:val="363435"/>
        </w:rPr>
        <w:t>decided</w:t>
      </w:r>
      <w:r>
        <w:rPr>
          <w:color w:val="363435"/>
          <w:spacing w:val="-18"/>
        </w:rPr>
        <w:t> </w:t>
      </w:r>
      <w:r>
        <w:rPr>
          <w:color w:val="363435"/>
        </w:rPr>
        <w:t>by the</w:t>
      </w:r>
      <w:r>
        <w:rPr>
          <w:color w:val="363435"/>
          <w:spacing w:val="-12"/>
        </w:rPr>
        <w:t> </w:t>
      </w:r>
      <w:r>
        <w:rPr>
          <w:color w:val="363435"/>
          <w:spacing w:val="-3"/>
        </w:rPr>
        <w:t>Chapter,</w:t>
      </w:r>
      <w:r>
        <w:rPr>
          <w:color w:val="363435"/>
          <w:spacing w:val="-20"/>
        </w:rPr>
        <w:t> </w:t>
      </w:r>
      <w:r>
        <w:rPr>
          <w:color w:val="363435"/>
        </w:rPr>
        <w:t>come</w:t>
      </w:r>
      <w:r>
        <w:rPr>
          <w:color w:val="363435"/>
          <w:spacing w:val="-22"/>
        </w:rPr>
        <w:t> </w:t>
      </w:r>
      <w:r>
        <w:rPr>
          <w:color w:val="363435"/>
        </w:rPr>
        <w:t>into</w:t>
      </w:r>
      <w:r>
        <w:rPr>
          <w:color w:val="363435"/>
          <w:spacing w:val="-23"/>
        </w:rPr>
        <w:t> </w:t>
      </w:r>
      <w:r>
        <w:rPr>
          <w:color w:val="363435"/>
        </w:rPr>
        <w:t>force</w:t>
      </w:r>
      <w:r>
        <w:rPr>
          <w:color w:val="363435"/>
          <w:spacing w:val="-22"/>
        </w:rPr>
        <w:t> </w:t>
      </w:r>
      <w:r>
        <w:rPr>
          <w:color w:val="363435"/>
        </w:rPr>
        <w:t>on</w:t>
      </w:r>
      <w:r>
        <w:rPr>
          <w:color w:val="363435"/>
          <w:spacing w:val="-24"/>
        </w:rPr>
        <w:t> </w:t>
      </w:r>
      <w:r>
        <w:rPr>
          <w:color w:val="363435"/>
        </w:rPr>
        <w:t>the</w:t>
      </w:r>
      <w:r>
        <w:rPr>
          <w:color w:val="363435"/>
          <w:spacing w:val="-24"/>
        </w:rPr>
        <w:t> </w:t>
      </w:r>
      <w:r>
        <w:rPr>
          <w:color w:val="363435"/>
        </w:rPr>
        <w:t>day</w:t>
      </w:r>
      <w:r>
        <w:rPr>
          <w:color w:val="363435"/>
          <w:spacing w:val="-23"/>
        </w:rPr>
        <w:t> </w:t>
      </w:r>
      <w:r>
        <w:rPr>
          <w:color w:val="363435"/>
        </w:rPr>
        <w:t>of</w:t>
      </w:r>
      <w:r>
        <w:rPr>
          <w:color w:val="363435"/>
          <w:spacing w:val="-25"/>
        </w:rPr>
        <w:t> </w:t>
      </w:r>
      <w:r>
        <w:rPr>
          <w:color w:val="363435"/>
        </w:rPr>
        <w:t>their</w:t>
      </w:r>
      <w:r>
        <w:rPr>
          <w:color w:val="363435"/>
          <w:spacing w:val="-23"/>
        </w:rPr>
        <w:t> </w:t>
      </w:r>
      <w:r>
        <w:rPr>
          <w:color w:val="363435"/>
        </w:rPr>
        <w:t>promulgation</w:t>
      </w:r>
      <w:r>
        <w:rPr>
          <w:color w:val="363435"/>
          <w:spacing w:val="-12"/>
        </w:rPr>
        <w:t> </w:t>
      </w:r>
      <w:r>
        <w:rPr>
          <w:color w:val="363435"/>
        </w:rPr>
        <w:t>made</w:t>
      </w:r>
      <w:r>
        <w:rPr>
          <w:color w:val="363435"/>
          <w:spacing w:val="-8"/>
        </w:rPr>
        <w:t> </w:t>
      </w:r>
      <w:r>
        <w:rPr>
          <w:color w:val="363435"/>
        </w:rPr>
        <w:t>by</w:t>
      </w:r>
      <w:r>
        <w:rPr>
          <w:color w:val="363435"/>
          <w:spacing w:val="-4"/>
        </w:rPr>
        <w:t> </w:t>
      </w:r>
      <w:r>
        <w:rPr>
          <w:color w:val="363435"/>
        </w:rPr>
        <w:t>the</w:t>
      </w:r>
      <w:r>
        <w:rPr>
          <w:color w:val="363435"/>
          <w:spacing w:val="-5"/>
        </w:rPr>
        <w:t> </w:t>
      </w:r>
      <w:r>
        <w:rPr>
          <w:color w:val="363435"/>
        </w:rPr>
        <w:t>Superior</w:t>
      </w:r>
      <w:r>
        <w:rPr>
          <w:color w:val="363435"/>
          <w:spacing w:val="-13"/>
        </w:rPr>
        <w:t> </w:t>
      </w:r>
      <w:r>
        <w:rPr>
          <w:color w:val="363435"/>
        </w:rPr>
        <w:t>General. They remain in force until the new Chapter which may abrogate, modify or confirm  them” (Appendix I,</w:t>
      </w:r>
      <w:r>
        <w:rPr>
          <w:color w:val="363435"/>
          <w:spacing w:val="-1"/>
        </w:rPr>
        <w:t> </w:t>
      </w:r>
      <w:r>
        <w:rPr>
          <w:color w:val="363435"/>
        </w:rPr>
        <w:t>63b);</w:t>
      </w:r>
    </w:p>
    <w:p>
      <w:pPr>
        <w:pStyle w:val="BodyText"/>
        <w:spacing w:before="122"/>
        <w:ind w:left="100" w:right="683" w:firstLine="720"/>
      </w:pPr>
      <w:r>
        <w:rPr/>
        <w:t>After having completed the final redaction of the Chapter Document during the meeting of General Council, as indicated by the XII General Chapter;</w:t>
      </w:r>
    </w:p>
    <w:p>
      <w:pPr>
        <w:pStyle w:val="BodyText"/>
        <w:spacing w:before="117"/>
        <w:ind w:left="820"/>
      </w:pPr>
      <w:r>
        <w:rPr/>
        <w:t>With the present act, with the consent of the General Council, I,</w:t>
      </w:r>
    </w:p>
    <w:p>
      <w:pPr>
        <w:pStyle w:val="BodyText"/>
      </w:pPr>
    </w:p>
    <w:p>
      <w:pPr>
        <w:pStyle w:val="BodyText"/>
        <w:spacing w:before="4"/>
        <w:rPr>
          <w:sz w:val="20"/>
        </w:rPr>
      </w:pPr>
    </w:p>
    <w:p>
      <w:pPr>
        <w:pStyle w:val="BodyText"/>
        <w:ind w:left="1369" w:right="1387"/>
        <w:jc w:val="center"/>
      </w:pPr>
      <w:r>
        <w:rPr/>
        <w:t>today, 20 November 2016,</w:t>
      </w:r>
    </w:p>
    <w:p>
      <w:pPr>
        <w:pStyle w:val="BodyText"/>
        <w:spacing w:line="684" w:lineRule="auto" w:before="122"/>
        <w:ind w:left="1369" w:right="1387"/>
        <w:jc w:val="center"/>
      </w:pPr>
      <w:r>
        <w:rPr/>
        <w:t>Solemnity of Christ the King and the Closing of the Jubilee of Mercy PROMULGATE</w:t>
      </w:r>
    </w:p>
    <w:p>
      <w:pPr>
        <w:spacing w:before="0"/>
        <w:ind w:left="100" w:right="450" w:firstLine="0"/>
        <w:jc w:val="both"/>
        <w:rPr>
          <w:sz w:val="24"/>
        </w:rPr>
      </w:pPr>
      <w:r>
        <w:rPr>
          <w:sz w:val="24"/>
        </w:rPr>
        <w:t>the Capitular Acts and the Capitular Document </w:t>
      </w:r>
      <w:r>
        <w:rPr>
          <w:i/>
          <w:sz w:val="24"/>
        </w:rPr>
        <w:t>“Seeing the Crowds, he felt Compassion for </w:t>
      </w:r>
      <w:r>
        <w:rPr>
          <w:i/>
          <w:sz w:val="24"/>
        </w:rPr>
        <w:t>them and said, ‘Rogate’”- Our Charismatic Identity in Today’s Challenges </w:t>
      </w:r>
      <w:r>
        <w:rPr>
          <w:sz w:val="24"/>
        </w:rPr>
        <w:t>of the XII General Chapter of the Congregation, held in Morlupo on 5-23 July 2016.</w:t>
      </w:r>
    </w:p>
    <w:p>
      <w:pPr>
        <w:pStyle w:val="BodyText"/>
      </w:pPr>
    </w:p>
    <w:p>
      <w:pPr>
        <w:pStyle w:val="BodyText"/>
      </w:pPr>
    </w:p>
    <w:p>
      <w:pPr>
        <w:pStyle w:val="BodyText"/>
      </w:pPr>
    </w:p>
    <w:p>
      <w:pPr>
        <w:pStyle w:val="BodyText"/>
        <w:spacing w:before="6"/>
        <w:rPr>
          <w:sz w:val="30"/>
        </w:rPr>
      </w:pPr>
    </w:p>
    <w:p>
      <w:pPr>
        <w:pStyle w:val="BodyText"/>
        <w:ind w:left="5140" w:right="1924"/>
      </w:pPr>
      <w:r>
        <w:rPr/>
        <w:t>Fr. Bruno Rampazzo RCJ Superior General</w:t>
      </w:r>
    </w:p>
    <w:p>
      <w:pPr>
        <w:pStyle w:val="BodyText"/>
        <w:spacing w:before="10"/>
        <w:rPr>
          <w:sz w:val="23"/>
        </w:rPr>
      </w:pPr>
    </w:p>
    <w:p>
      <w:pPr>
        <w:pStyle w:val="BodyText"/>
        <w:ind w:left="100" w:right="6769"/>
      </w:pPr>
      <w:r>
        <w:rPr/>
        <w:t>Fr. Fortunato Siciliano RCJ Secretary General</w:t>
      </w:r>
    </w:p>
    <w:sectPr>
      <w:type w:val="continuous"/>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2016-12-19T10:08:37Z</dcterms:created>
  <dcterms:modified xsi:type="dcterms:W3CDTF">2016-12-19T10:08:37Z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2016-12-19T00:00:00Z</vt:filetime>
  </property>
</Properties>
</file>